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4"/>
          <w:szCs w:val="24"/>
        </w:rPr>
      </w:pPr>
      <w:r>
        <w:rPr>
          <w:rFonts w:hint="eastAsia" w:ascii="宋体" w:hAnsi="宋体" w:eastAsia="PMingLiU"/>
          <w:sz w:val="24"/>
          <w:szCs w:val="24"/>
          <w:lang w:eastAsia="zh-TW"/>
        </w:rPr>
        <w:t>附件</w:t>
      </w:r>
      <w:r>
        <w:rPr>
          <w:rFonts w:hint="eastAsia" w:asciiTheme="minorEastAsia" w:hAnsiTheme="minorEastAsia"/>
          <w:sz w:val="24"/>
          <w:szCs w:val="24"/>
        </w:rPr>
        <w:t>2</w:t>
      </w:r>
      <w:r>
        <w:rPr>
          <w:rFonts w:ascii="宋体" w:hAnsi="宋体" w:eastAsia="PMingLiU"/>
          <w:sz w:val="24"/>
          <w:szCs w:val="24"/>
          <w:lang w:eastAsia="zh-TW"/>
        </w:rPr>
        <w:t xml:space="preserve"> </w:t>
      </w:r>
      <w:r>
        <w:rPr>
          <w:rFonts w:hint="eastAsia" w:ascii="宋体" w:hAnsi="宋体" w:eastAsia="PMingLiU"/>
          <w:sz w:val="24"/>
          <w:szCs w:val="24"/>
          <w:lang w:eastAsia="zh-TW"/>
        </w:rPr>
        <w:t>重慶</w:t>
      </w:r>
      <w:r>
        <w:rPr>
          <w:rFonts w:hint="eastAsia" w:eastAsia="PMingLiU" w:asciiTheme="minorEastAsia" w:hAnsiTheme="minorEastAsia"/>
          <w:sz w:val="24"/>
          <w:szCs w:val="24"/>
          <w:lang w:eastAsia="zh-TW"/>
        </w:rPr>
        <w:t>醫科</w:t>
      </w:r>
      <w:r>
        <w:rPr>
          <w:rFonts w:hint="eastAsia" w:ascii="宋体" w:hAnsi="宋体" w:eastAsia="PMingLiU"/>
          <w:sz w:val="24"/>
          <w:szCs w:val="24"/>
          <w:lang w:eastAsia="zh-TW"/>
        </w:rPr>
        <w:t>大學</w:t>
      </w:r>
      <w:r>
        <w:rPr>
          <w:rFonts w:hint="eastAsia" w:ascii="宋体" w:hAnsi="宋体" w:eastAsia="宋体"/>
          <w:sz w:val="24"/>
          <w:szCs w:val="24"/>
          <w:lang w:val="en-US" w:eastAsia="zh-CN"/>
        </w:rPr>
        <w:t>2020</w:t>
      </w:r>
      <w:r>
        <w:rPr>
          <w:rFonts w:hint="eastAsia" w:ascii="宋体" w:hAnsi="宋体" w:eastAsia="PMingLiU"/>
          <w:sz w:val="24"/>
          <w:szCs w:val="24"/>
          <w:lang w:eastAsia="zh-TW"/>
        </w:rPr>
        <w:t>年依據臺灣地區大學入學考試學科能力測驗成績招收臺灣高中畢業生</w:t>
      </w:r>
      <w:r>
        <w:rPr>
          <w:rFonts w:hint="eastAsia" w:ascii="宋体" w:hAnsi="宋体" w:eastAsia="PMingLiU"/>
          <w:b/>
          <w:sz w:val="24"/>
          <w:szCs w:val="24"/>
          <w:lang w:eastAsia="zh-TW"/>
        </w:rPr>
        <w:t>專業目錄</w:t>
      </w:r>
    </w:p>
    <w:tbl>
      <w:tblPr>
        <w:tblStyle w:val="5"/>
        <w:tblW w:w="8928" w:type="dxa"/>
        <w:jc w:val="center"/>
        <w:tblInd w:w="-406" w:type="dxa"/>
        <w:tblLayout w:type="fixed"/>
        <w:tblCellMar>
          <w:top w:w="0" w:type="dxa"/>
          <w:left w:w="108" w:type="dxa"/>
          <w:bottom w:w="0" w:type="dxa"/>
          <w:right w:w="108" w:type="dxa"/>
        </w:tblCellMar>
      </w:tblPr>
      <w:tblGrid>
        <w:gridCol w:w="2372"/>
        <w:gridCol w:w="657"/>
        <w:gridCol w:w="3094"/>
        <w:gridCol w:w="2805"/>
      </w:tblGrid>
      <w:tr>
        <w:tblPrEx>
          <w:tblLayout w:type="fixed"/>
          <w:tblCellMar>
            <w:top w:w="0" w:type="dxa"/>
            <w:left w:w="108" w:type="dxa"/>
            <w:bottom w:w="0" w:type="dxa"/>
            <w:right w:w="108" w:type="dxa"/>
          </w:tblCellMar>
        </w:tblPrEx>
        <w:trPr>
          <w:trHeight w:val="585" w:hRule="atLeast"/>
          <w:jc w:val="center"/>
        </w:trPr>
        <w:tc>
          <w:tcPr>
            <w:tcW w:w="2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PMingLiU" w:cs="宋体"/>
                <w:b/>
                <w:bCs/>
                <w:color w:val="000000"/>
                <w:kern w:val="0"/>
                <w:sz w:val="22"/>
                <w:lang w:eastAsia="zh-TW"/>
              </w:rPr>
              <w:t>專業</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PMingLiU" w:cs="宋体"/>
                <w:b/>
                <w:bCs/>
                <w:color w:val="000000"/>
                <w:kern w:val="0"/>
                <w:sz w:val="22"/>
                <w:lang w:eastAsia="zh-TW"/>
              </w:rPr>
              <w:t>學制</w:t>
            </w:r>
          </w:p>
        </w:tc>
        <w:tc>
          <w:tcPr>
            <w:tcW w:w="309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PMingLiU" w:cs="宋体"/>
                <w:b/>
                <w:kern w:val="0"/>
                <w:sz w:val="22"/>
                <w:lang w:eastAsia="zh-TW"/>
              </w:rPr>
            </w:pPr>
            <w:r>
              <w:rPr>
                <w:rFonts w:hint="eastAsia" w:ascii="宋体" w:hAnsi="宋体" w:eastAsia="PMingLiU" w:cs="宋体"/>
                <w:b/>
                <w:kern w:val="0"/>
                <w:sz w:val="22"/>
                <w:lang w:eastAsia="zh-TW"/>
              </w:rPr>
              <w:t>學費</w:t>
            </w:r>
            <w:r>
              <w:rPr>
                <w:rFonts w:hint="eastAsia" w:eastAsia="PMingLiU" w:cs="宋体" w:asciiTheme="minorEastAsia" w:hAnsiTheme="minorEastAsia"/>
                <w:b/>
                <w:kern w:val="0"/>
                <w:sz w:val="22"/>
                <w:lang w:eastAsia="zh-TW"/>
              </w:rPr>
              <w:t>（學分制收費）</w:t>
            </w:r>
            <w:r>
              <w:rPr>
                <w:rFonts w:hint="eastAsia" w:ascii="宋体" w:hAnsi="宋体" w:eastAsia="PMingLiU" w:cs="宋体"/>
                <w:b/>
                <w:kern w:val="0"/>
                <w:sz w:val="22"/>
                <w:lang w:eastAsia="zh-TW"/>
              </w:rPr>
              <w:br w:type="textWrapping"/>
            </w:r>
            <w:r>
              <w:rPr>
                <w:rFonts w:hint="eastAsia" w:ascii="宋体" w:hAnsi="宋体" w:eastAsia="PMingLiU" w:cs="宋体"/>
                <w:b/>
                <w:kern w:val="0"/>
                <w:sz w:val="22"/>
                <w:lang w:eastAsia="zh-TW"/>
              </w:rPr>
              <w:t>（</w:t>
            </w:r>
            <w:r>
              <w:rPr>
                <w:rFonts w:hint="eastAsia" w:eastAsia="PMingLiU" w:cs="宋体" w:asciiTheme="minorEastAsia" w:hAnsiTheme="minorEastAsia"/>
                <w:b/>
                <w:kern w:val="0"/>
                <w:sz w:val="22"/>
                <w:lang w:eastAsia="zh-TW"/>
              </w:rPr>
              <w:t>每學年預收</w:t>
            </w:r>
            <w:r>
              <w:rPr>
                <w:rFonts w:hint="eastAsia" w:ascii="宋体" w:hAnsi="宋体" w:eastAsia="PMingLiU" w:cs="宋体"/>
                <w:b/>
                <w:kern w:val="0"/>
                <w:sz w:val="22"/>
                <w:lang w:eastAsia="zh-TW"/>
              </w:rPr>
              <w:t>人民幣：元</w:t>
            </w:r>
            <w:r>
              <w:rPr>
                <w:rFonts w:ascii="宋体" w:hAnsi="宋体" w:eastAsia="PMingLiU" w:cs="宋体"/>
                <w:b/>
                <w:kern w:val="0"/>
                <w:sz w:val="22"/>
                <w:lang w:eastAsia="zh-TW"/>
              </w:rPr>
              <w:t>/</w:t>
            </w:r>
            <w:r>
              <w:rPr>
                <w:rFonts w:hint="eastAsia" w:ascii="宋体" w:hAnsi="宋体" w:eastAsia="PMingLiU" w:cs="宋体"/>
                <w:b/>
                <w:kern w:val="0"/>
                <w:sz w:val="22"/>
                <w:lang w:eastAsia="zh-TW"/>
              </w:rPr>
              <w:t>年）</w:t>
            </w:r>
          </w:p>
        </w:tc>
        <w:tc>
          <w:tcPr>
            <w:tcW w:w="28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b/>
                <w:kern w:val="0"/>
                <w:sz w:val="22"/>
              </w:rPr>
            </w:pPr>
            <w:r>
              <w:rPr>
                <w:rFonts w:hint="eastAsia" w:ascii="宋体" w:hAnsi="宋体" w:eastAsia="PMingLiU" w:cs="宋体"/>
                <w:b/>
                <w:kern w:val="0"/>
                <w:sz w:val="22"/>
                <w:lang w:eastAsia="zh-TW"/>
              </w:rPr>
              <w:t>最低成績要求</w:t>
            </w:r>
          </w:p>
          <w:p>
            <w:pPr>
              <w:widowControl/>
              <w:snapToGrid w:val="0"/>
              <w:jc w:val="center"/>
              <w:rPr>
                <w:rFonts w:ascii="宋体" w:hAnsi="宋体" w:eastAsia="宋体" w:cs="宋体"/>
                <w:b/>
                <w:bCs/>
                <w:color w:val="000000"/>
                <w:kern w:val="0"/>
                <w:sz w:val="22"/>
              </w:rPr>
            </w:pPr>
            <w:r>
              <w:rPr>
                <w:rFonts w:hint="eastAsia" w:ascii="宋体" w:hAnsi="宋体" w:eastAsia="PMingLiU" w:cs="宋体"/>
                <w:b/>
                <w:kern w:val="0"/>
                <w:sz w:val="22"/>
                <w:lang w:eastAsia="zh-TW"/>
              </w:rPr>
              <w:t>（國文、英文、數學、自然）</w:t>
            </w:r>
          </w:p>
        </w:tc>
      </w:tr>
      <w:tr>
        <w:tblPrEx>
          <w:tblLayout w:type="fixed"/>
          <w:tblCellMar>
            <w:top w:w="0" w:type="dxa"/>
            <w:left w:w="108" w:type="dxa"/>
            <w:bottom w:w="0" w:type="dxa"/>
            <w:right w:w="108" w:type="dxa"/>
          </w:tblCellMar>
        </w:tblPrEx>
        <w:trPr>
          <w:trHeight w:val="373"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臨床醫學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PMingLiU" w:cs="宋体"/>
                <w:bCs/>
                <w:color w:val="000000"/>
                <w:kern w:val="0"/>
                <w:sz w:val="22"/>
                <w:lang w:eastAsia="zh-TW"/>
              </w:rPr>
              <w:t>前標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兒科學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PMingLiU" w:cs="宋体"/>
                <w:bCs/>
                <w:color w:val="000000"/>
                <w:kern w:val="0"/>
                <w:sz w:val="22"/>
                <w:lang w:eastAsia="zh-TW"/>
              </w:rPr>
              <w:t>前標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bookmarkStart w:id="0" w:name="_GoBack"/>
            <w:bookmarkEnd w:id="0"/>
            <w:r>
              <w:rPr>
                <w:rFonts w:hint="eastAsia" w:eastAsia="PMingLiU"/>
                <w:sz w:val="22"/>
                <w:lang w:eastAsia="zh-TW"/>
              </w:rPr>
              <w:t>麻醉學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PMingLiU" w:cs="宋体"/>
                <w:bCs/>
                <w:color w:val="000000"/>
                <w:kern w:val="0"/>
                <w:sz w:val="22"/>
                <w:lang w:eastAsia="zh-TW"/>
              </w:rPr>
              <w:t>前標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醫學影像學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PMingLiU" w:cs="宋体"/>
                <w:bCs/>
                <w:color w:val="000000"/>
                <w:kern w:val="0"/>
                <w:sz w:val="22"/>
                <w:lang w:eastAsia="zh-TW"/>
              </w:rPr>
              <w:t>前標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精神醫學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PMingLiU" w:cs="宋体"/>
                <w:bCs/>
                <w:color w:val="000000"/>
                <w:kern w:val="0"/>
                <w:sz w:val="22"/>
                <w:lang w:eastAsia="zh-TW"/>
              </w:rPr>
              <w:t>前標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基礎醫學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預防醫學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法醫學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臨床藥學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sz w:val="22"/>
              </w:rPr>
            </w:pPr>
            <w:r>
              <w:rPr>
                <w:rFonts w:hint="eastAsia" w:eastAsia="PMingLiU"/>
                <w:sz w:val="22"/>
                <w:lang w:eastAsia="zh-TW"/>
              </w:rPr>
              <w:t>針灸推拿學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sz w:val="22"/>
              </w:rPr>
            </w:pPr>
            <w:r>
              <w:rPr>
                <w:rFonts w:hint="eastAsia" w:eastAsia="PMingLiU"/>
                <w:sz w:val="22"/>
                <w:lang w:eastAsia="zh-TW"/>
              </w:rPr>
              <w:t>中西醫臨床醫學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sz w:val="22"/>
              </w:rPr>
            </w:pPr>
            <w:r>
              <w:rPr>
                <w:rFonts w:hint="eastAsia" w:eastAsia="PMingLiU"/>
                <w:sz w:val="22"/>
                <w:lang w:eastAsia="zh-TW"/>
              </w:rPr>
              <w:t>中醫學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生物醫學工程</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PMingLiU" w:cs="宋体"/>
                <w:color w:val="000000"/>
                <w:kern w:val="0"/>
                <w:sz w:val="22"/>
                <w:lang w:eastAsia="zh-TW"/>
              </w:rPr>
            </w:pPr>
            <w:r>
              <w:rPr>
                <w:rFonts w:hint="eastAsia" w:ascii="宋体" w:hAnsi="宋体" w:eastAsia="PMingLiU" w:cs="宋体"/>
                <w:b/>
                <w:color w:val="000000"/>
                <w:kern w:val="0"/>
                <w:sz w:val="22"/>
                <w:lang w:eastAsia="zh-TW"/>
              </w:rPr>
              <w:t>五年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4625</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醫學實驗技術</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生物資訊學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4625</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食品衛生與營養學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衛生檢驗與檢疫</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618"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藥學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藥物製劑</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中藥學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中藥製藥</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醫學檢驗技術</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醫學影像技術</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護理學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康復治療學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口腔醫學技術</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應用統計學</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4625</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公共事業管理</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eastAsia="PMingLiU" w:cs="宋体" w:asciiTheme="minorEastAsia" w:hAnsiTheme="minorEastAsia"/>
                <w:kern w:val="0"/>
                <w:sz w:val="22"/>
                <w:lang w:eastAsia="zh-TW"/>
              </w:rPr>
              <w:t>4625</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英語</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2"/>
              </w:rPr>
            </w:pPr>
            <w:r>
              <w:rPr>
                <w:rFonts w:eastAsia="PMingLiU" w:cs="宋体" w:asciiTheme="minorEastAsia" w:hAnsiTheme="minorEastAsia"/>
                <w:kern w:val="0"/>
                <w:sz w:val="22"/>
                <w:lang w:eastAsia="zh-TW"/>
              </w:rPr>
              <w:t>6250</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醫學資訊工程</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2"/>
              </w:rPr>
            </w:pPr>
            <w:r>
              <w:rPr>
                <w:rFonts w:eastAsia="PMingLiU" w:cs="宋体" w:asciiTheme="minorEastAsia" w:hAnsiTheme="minorEastAsia"/>
                <w:kern w:val="0"/>
                <w:sz w:val="22"/>
                <w:lang w:eastAsia="zh-TW"/>
              </w:rPr>
              <w:t>4625</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r>
        <w:tblPrEx>
          <w:tblLayout w:type="fixed"/>
          <w:tblCellMar>
            <w:top w:w="0" w:type="dxa"/>
            <w:left w:w="108" w:type="dxa"/>
            <w:bottom w:w="0" w:type="dxa"/>
            <w:right w:w="108" w:type="dxa"/>
          </w:tblCellMar>
        </w:tblPrEx>
        <w:trPr>
          <w:trHeight w:val="405" w:hRule="atLeast"/>
          <w:jc w:val="center"/>
        </w:trPr>
        <w:tc>
          <w:tcPr>
            <w:tcW w:w="237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eastAsia="PMingLiU"/>
                <w:sz w:val="22"/>
                <w:lang w:eastAsia="zh-TW"/>
              </w:rPr>
              <w:t>資訊管理與資訊系統</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四年</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2"/>
              </w:rPr>
            </w:pPr>
            <w:r>
              <w:rPr>
                <w:rFonts w:eastAsia="PMingLiU" w:cs="宋体" w:asciiTheme="minorEastAsia" w:hAnsiTheme="minorEastAsia"/>
                <w:kern w:val="0"/>
                <w:sz w:val="22"/>
                <w:lang w:eastAsia="zh-TW"/>
              </w:rPr>
              <w:t>5625</w:t>
            </w:r>
          </w:p>
        </w:tc>
        <w:tc>
          <w:tcPr>
            <w:tcW w:w="2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PMingLiU" w:cs="宋体"/>
                <w:color w:val="000000"/>
                <w:kern w:val="0"/>
                <w:sz w:val="22"/>
                <w:lang w:eastAsia="zh-TW"/>
              </w:rPr>
              <w:t>均標</w:t>
            </w:r>
          </w:p>
        </w:tc>
      </w:tr>
    </w:tbl>
    <w:p>
      <w:pPr>
        <w:snapToGrid w:val="0"/>
        <w:spacing w:line="360" w:lineRule="auto"/>
        <w:rPr>
          <w:lang w:eastAsia="zh-TW"/>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1560330"/>
      <w:docPartObj>
        <w:docPartGallery w:val="autotext"/>
      </w:docPartObj>
    </w:sdtPr>
    <w:sdtContent>
      <w:p>
        <w:pPr>
          <w:pStyle w:val="2"/>
          <w:jc w:val="center"/>
        </w:pPr>
        <w:r>
          <w:fldChar w:fldCharType="begin"/>
        </w:r>
        <w:r>
          <w:instrText xml:space="preserve">PAGE   \* MERGEFORMAT</w:instrText>
        </w:r>
        <w:r>
          <w:fldChar w:fldCharType="separate"/>
        </w:r>
        <w:r>
          <w:rPr>
            <w:rFonts w:eastAsia="PMingLiU"/>
            <w:lang w:val="zh-CN" w:eastAsia="zh-TW"/>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4"/>
    <w:rsid w:val="000756F0"/>
    <w:rsid w:val="00082D87"/>
    <w:rsid w:val="00163E7D"/>
    <w:rsid w:val="0018182D"/>
    <w:rsid w:val="003A5138"/>
    <w:rsid w:val="007465D7"/>
    <w:rsid w:val="00774F6A"/>
    <w:rsid w:val="00A27B2B"/>
    <w:rsid w:val="00A32CA4"/>
    <w:rsid w:val="00A60288"/>
    <w:rsid w:val="00B513EC"/>
    <w:rsid w:val="00BB36D7"/>
    <w:rsid w:val="2E4A2B88"/>
    <w:rsid w:val="63E70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100</Words>
  <Characters>571</Characters>
  <Lines>4</Lines>
  <Paragraphs>1</Paragraphs>
  <ScaleCrop>false</ScaleCrop>
  <LinksUpToDate>false</LinksUpToDate>
  <CharactersWithSpaces>670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2019-02-21T02:11:00Z</dcterms:created>
  <dc:creator>HP1</dc:creator>
  <cp:lastModifiedBy>Administrator</cp:lastModifiedBy>
  <dcterms:modified xsi:type="dcterms:W3CDTF">2020-03-10T05:37:54Z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